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8" w:rsidRPr="00D32A5C" w:rsidRDefault="00C819C8" w:rsidP="00C819C8">
      <w:pPr>
        <w:spacing w:after="0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proofErr w:type="gramStart"/>
      <w:r w:rsidRPr="00D32A5C">
        <w:rPr>
          <w:rFonts w:ascii="Times New Roman" w:eastAsia="標楷體" w:hAnsi="Times New Roman" w:cs="Microsoft YaHei" w:hint="eastAsia"/>
          <w:b/>
          <w:bCs/>
          <w:color w:val="A24A48"/>
          <w:w w:val="99"/>
          <w:sz w:val="32"/>
          <w:szCs w:val="32"/>
          <w:lang w:eastAsia="zh-TW"/>
        </w:rPr>
        <w:t>世</w:t>
      </w:r>
      <w:proofErr w:type="gramEnd"/>
      <w:r w:rsidRPr="00D32A5C">
        <w:rPr>
          <w:rFonts w:ascii="Times New Roman" w:eastAsia="標楷體" w:hAnsi="Times New Roman" w:cs="Microsoft YaHei" w:hint="eastAsia"/>
          <w:b/>
          <w:bCs/>
          <w:color w:val="A24A48"/>
          <w:w w:val="99"/>
          <w:sz w:val="32"/>
          <w:szCs w:val="32"/>
          <w:lang w:eastAsia="zh-TW"/>
        </w:rPr>
        <w:t>新大學抵免學分辦法</w:t>
      </w:r>
      <w:r w:rsidRPr="00D32A5C">
        <w:rPr>
          <w:rFonts w:ascii="Times New Roman" w:eastAsia="標楷體" w:hAnsi="Times New Roman" w:hint="eastAsia"/>
          <w:sz w:val="32"/>
          <w:szCs w:val="32"/>
          <w:lang w:eastAsia="zh-TW"/>
        </w:rPr>
        <w:t xml:space="preserve"> </w:t>
      </w:r>
    </w:p>
    <w:p w:rsidR="00C819C8" w:rsidRPr="00D32A5C" w:rsidRDefault="00C819C8" w:rsidP="00C819C8">
      <w:pPr>
        <w:spacing w:after="0"/>
        <w:jc w:val="center"/>
        <w:rPr>
          <w:rFonts w:ascii="Times New Roman" w:eastAsia="標楷體" w:hAnsi="Times New Roman"/>
          <w:lang w:eastAsia="zh-TW"/>
        </w:rPr>
      </w:pP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21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16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20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02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18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9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30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02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95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6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01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/>
          <w:sz w:val="18"/>
          <w:szCs w:val="18"/>
          <w:lang w:eastAsia="zh-TW"/>
        </w:rPr>
        <w:t>95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21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96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/>
          <w:sz w:val="18"/>
          <w:szCs w:val="18"/>
          <w:lang w:eastAsia="zh-TW"/>
        </w:rPr>
        <w:t>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04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97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 xml:space="preserve"> 7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31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27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5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28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日校務會議修訂通過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5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</w:t>
      </w:r>
      <w:proofErr w:type="gramStart"/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臺</w:t>
      </w:r>
      <w:proofErr w:type="gramEnd"/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教高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(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二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)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字第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1030142668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號函備查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20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104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4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23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日教務會議修訂通過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18"/>
          <w:szCs w:val="18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104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8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25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日</w:t>
      </w:r>
      <w:proofErr w:type="gramStart"/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臺</w:t>
      </w:r>
      <w:proofErr w:type="gramEnd"/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教高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(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二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)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字第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104100886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號函備查</w:t>
      </w:r>
    </w:p>
    <w:p w:rsidR="00C819C8" w:rsidRPr="00D32A5C" w:rsidRDefault="00C819C8" w:rsidP="00C819C8">
      <w:pPr>
        <w:spacing w:after="0" w:line="0" w:lineRule="atLeast"/>
        <w:ind w:leftChars="2384" w:left="5245"/>
        <w:rPr>
          <w:rFonts w:ascii="Times New Roman" w:eastAsia="標楷體" w:hAnsi="Times New Roman"/>
          <w:sz w:val="20"/>
          <w:lang w:eastAsia="zh-TW"/>
        </w:rPr>
      </w:pP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106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年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4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月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2</w:t>
      </w:r>
      <w:r w:rsidRPr="00D32A5C">
        <w:rPr>
          <w:rFonts w:ascii="Times New Roman" w:eastAsia="標楷體" w:hAnsi="Times New Roman" w:hint="eastAsia"/>
          <w:sz w:val="18"/>
          <w:szCs w:val="18"/>
          <w:lang w:eastAsia="zh-TW"/>
        </w:rPr>
        <w:t>７日教務會議提案修訂</w:t>
      </w:r>
    </w:p>
    <w:p w:rsidR="00C819C8" w:rsidRPr="00D32A5C" w:rsidRDefault="00C819C8" w:rsidP="00C819C8">
      <w:pPr>
        <w:spacing w:line="0" w:lineRule="atLeast"/>
        <w:ind w:leftChars="2008" w:left="4418"/>
        <w:rPr>
          <w:rFonts w:ascii="Times New Roman" w:eastAsia="標楷體" w:hAnsi="Times New Roman"/>
          <w:sz w:val="18"/>
          <w:szCs w:val="18"/>
          <w:lang w:eastAsia="zh-TW"/>
        </w:rPr>
      </w:pPr>
    </w:p>
    <w:p w:rsidR="00C819C8" w:rsidRPr="00D32A5C" w:rsidRDefault="00C819C8" w:rsidP="00C819C8">
      <w:pPr>
        <w:spacing w:line="0" w:lineRule="atLeast"/>
        <w:rPr>
          <w:rFonts w:ascii="Times New Roman" w:eastAsia="標楷體" w:hAnsi="Times New Roman"/>
          <w:sz w:val="18"/>
          <w:szCs w:val="18"/>
          <w:lang w:eastAsia="zh-TW"/>
        </w:rPr>
      </w:pPr>
    </w:p>
    <w:p w:rsidR="00C819C8" w:rsidRPr="00D32A5C" w:rsidRDefault="00C819C8" w:rsidP="00C819C8">
      <w:pPr>
        <w:pStyle w:val="a3"/>
        <w:spacing w:line="0" w:lineRule="atLeast"/>
        <w:ind w:left="1200" w:hangingChars="500" w:hanging="1200"/>
        <w:jc w:val="both"/>
        <w:rPr>
          <w:rFonts w:ascii="Times New Roman" w:hAnsi="Times New Roman"/>
          <w:lang w:eastAsia="zh-TW"/>
        </w:rPr>
      </w:pP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一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下列學生得申請抵免學分：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一、轉系（所）生。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二、轉學生。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三、重考新生（含專科畢業及大學或研究所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肄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、畢業者）。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四、依照法令規定准許先修讀學分後考取修讀學位者。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五、在考入本校前，曾在本校進修教育部核准之學分班，已取得學分證明者，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酌予抵免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。</w:t>
      </w:r>
    </w:p>
    <w:p w:rsidR="00C819C8" w:rsidRPr="00D32A5C" w:rsidRDefault="00C819C8" w:rsidP="00C819C8">
      <w:pPr>
        <w:pStyle w:val="1"/>
        <w:snapToGrid w:val="0"/>
        <w:spacing w:afterLines="50" w:after="180"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六、經政府遴選、學校推薦至教育部認可之國外大學院校，已取得學分證明者，酌予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採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認。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二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抵免學分之範圍如下：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一、必修學分。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二、選修學分。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三、輔系學分（指轉系而互換主、輔系者）。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700" w:hangingChars="300" w:hanging="6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四、雙主修學分。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五、體育及通識教育課程。</w:t>
      </w:r>
    </w:p>
    <w:p w:rsidR="00C819C8" w:rsidRPr="00D32A5C" w:rsidRDefault="00C819C8" w:rsidP="00C819C8">
      <w:pPr>
        <w:pStyle w:val="a3"/>
        <w:snapToGrid w:val="0"/>
        <w:spacing w:afterLines="50" w:after="180" w:line="0" w:lineRule="atLeast"/>
        <w:ind w:leftChars="500" w:left="1100" w:firstLine="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六、各類學程學分。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三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抵免學分之原則規定如下：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一、抵免之課程與學分，修習及格，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方准抵免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 xml:space="preserve">二、抵免之課程與學分，應以學生本人應修課程為主，抵免手續完成後，因故停開或未開之課程，抵免應予刪除。　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三、名稱內容相同或名稱不同而內容相同之課程學分，由各教學單位決定。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四、以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多抵少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者，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抵免後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，以少學分登記。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五、以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少抵多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者，先由各教學單位決定是否接受，若接受時，其不足之學分數應補修下（上）學期課程或重修原不及格之學期課程，但該課程因故停開時，應依課程性質不同由各教學單位指定修習內容相近之課程。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六、通過「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世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新大學學生出國進修獎學金辦法」或經政府、學校推薦、遴選之學生，可前往國外暨大陸地區姊妹校或經教育部承認之國外大學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修習與所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學相關之課</w:t>
      </w:r>
      <w:r w:rsidRPr="00D32A5C">
        <w:rPr>
          <w:rFonts w:ascii="Times New Roman" w:hAnsi="Times New Roman" w:hint="eastAsia"/>
          <w:sz w:val="20"/>
          <w:lang w:eastAsia="zh-TW"/>
        </w:rPr>
        <w:lastRenderedPageBreak/>
        <w:t>程，並經所屬系、所或學位學程主管之同意，可抵免該系、所學位學程學分。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七、日間學制大學部及進修學士班之學生修習碩士班課程者（自九十三學年度第二學期起），於日後考上本校碩士班研究所，其成績達七十分（含）以上，抵免學分之規定由各學系所或學位學程自訂。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b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八、體育課程抵免學分之原則：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700" w:left="1740" w:hangingChars="100" w:hanging="2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(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一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)</w:t>
      </w:r>
      <w:r w:rsidRPr="00D32A5C">
        <w:rPr>
          <w:rFonts w:ascii="Times New Roman" w:hAnsi="Times New Roman" w:hint="eastAsia"/>
          <w:sz w:val="20"/>
          <w:lang w:eastAsia="zh-TW"/>
        </w:rPr>
        <w:t>體育課程限抵轉入年級前之體育，轉入年級起之體育不得抵免。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700" w:left="194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(</w:t>
      </w:r>
      <w:r w:rsidRPr="00D32A5C">
        <w:rPr>
          <w:rFonts w:ascii="Times New Roman" w:hAnsi="Times New Roman" w:hint="eastAsia"/>
          <w:sz w:val="20"/>
          <w:lang w:eastAsia="zh-TW"/>
        </w:rPr>
        <w:t>二</w:t>
      </w:r>
      <w:r w:rsidRPr="00D32A5C">
        <w:rPr>
          <w:rFonts w:ascii="Times New Roman" w:hAnsi="Times New Roman" w:hint="eastAsia"/>
          <w:sz w:val="20"/>
          <w:lang w:eastAsia="zh-TW"/>
        </w:rPr>
        <w:t>)</w:t>
      </w:r>
      <w:r w:rsidRPr="00D32A5C">
        <w:rPr>
          <w:rFonts w:ascii="Times New Roman" w:hAnsi="Times New Roman" w:hint="eastAsia"/>
          <w:sz w:val="20"/>
          <w:lang w:eastAsia="zh-TW"/>
        </w:rPr>
        <w:t>轉學生自入學年級起，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隨年級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必須修習體育（含大學肄業、二、三、五專、空大、空中行專畢業）。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700" w:left="194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(</w:t>
      </w:r>
      <w:r w:rsidRPr="00D32A5C">
        <w:rPr>
          <w:rFonts w:ascii="Times New Roman" w:hAnsi="Times New Roman" w:hint="eastAsia"/>
          <w:sz w:val="20"/>
          <w:lang w:eastAsia="zh-TW"/>
        </w:rPr>
        <w:t>三</w:t>
      </w:r>
      <w:r w:rsidRPr="00D32A5C">
        <w:rPr>
          <w:rFonts w:ascii="Times New Roman" w:hAnsi="Times New Roman" w:hint="eastAsia"/>
          <w:sz w:val="20"/>
          <w:lang w:eastAsia="zh-TW"/>
        </w:rPr>
        <w:t>)</w:t>
      </w:r>
      <w:r w:rsidRPr="00D32A5C">
        <w:rPr>
          <w:rFonts w:ascii="Times New Roman" w:hAnsi="Times New Roman" w:hint="eastAsia"/>
          <w:sz w:val="20"/>
          <w:lang w:eastAsia="zh-TW"/>
        </w:rPr>
        <w:t>本校降級轉系生，其重覆學期之必修體育成績及格者，准予免修。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700" w:left="194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(</w:t>
      </w:r>
      <w:r w:rsidRPr="00D32A5C">
        <w:rPr>
          <w:rFonts w:ascii="Times New Roman" w:hAnsi="Times New Roman" w:hint="eastAsia"/>
          <w:sz w:val="20"/>
          <w:lang w:eastAsia="zh-TW"/>
        </w:rPr>
        <w:t>四</w:t>
      </w:r>
      <w:r w:rsidRPr="00D32A5C">
        <w:rPr>
          <w:rFonts w:ascii="Times New Roman" w:hAnsi="Times New Roman" w:hint="eastAsia"/>
          <w:sz w:val="20"/>
          <w:lang w:eastAsia="zh-TW"/>
        </w:rPr>
        <w:t>)</w:t>
      </w:r>
      <w:r w:rsidRPr="00D32A5C">
        <w:rPr>
          <w:rFonts w:ascii="Times New Roman" w:hAnsi="Times New Roman" w:hint="eastAsia"/>
          <w:sz w:val="20"/>
          <w:lang w:eastAsia="zh-TW"/>
        </w:rPr>
        <w:t>本校選讀生依法取得學籍並提高編級者，其提高編級前各年級之必修體育，准予免修。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300" w:hangingChars="100" w:hanging="2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F72014">
        <w:rPr>
          <w:rFonts w:ascii="Times New Roman" w:hAnsi="Times New Roman" w:hint="eastAsia"/>
          <w:sz w:val="20"/>
          <w:lang w:eastAsia="zh-TW"/>
        </w:rPr>
        <w:t>九、</w:t>
      </w:r>
      <w:r w:rsidRPr="00D32A5C">
        <w:rPr>
          <w:rFonts w:ascii="Times New Roman" w:hAnsi="Times New Roman" w:hint="eastAsia"/>
          <w:sz w:val="20"/>
          <w:lang w:eastAsia="zh-TW"/>
        </w:rPr>
        <w:t>各類學程學分之抵免，依本校各類學程辦法處理。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300" w:hangingChars="100" w:hanging="2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F72014">
        <w:rPr>
          <w:rFonts w:ascii="Times New Roman" w:hAnsi="Times New Roman" w:hint="eastAsia"/>
          <w:sz w:val="20"/>
          <w:lang w:eastAsia="zh-TW"/>
        </w:rPr>
        <w:t>十、</w:t>
      </w:r>
      <w:r w:rsidRPr="00D32A5C">
        <w:rPr>
          <w:rFonts w:ascii="Times New Roman" w:hAnsi="Times New Roman" w:hint="eastAsia"/>
          <w:sz w:val="20"/>
          <w:lang w:eastAsia="zh-TW"/>
        </w:rPr>
        <w:t>前述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抵免以不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變更每學期修習學分數、修業年限為原則。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700" w:left="1540"/>
        <w:contextualSpacing/>
        <w:jc w:val="both"/>
        <w:rPr>
          <w:rFonts w:ascii="Times New Roman" w:hAnsi="Times New Roman"/>
          <w:color w:val="0000CC"/>
          <w:sz w:val="20"/>
          <w:lang w:eastAsia="zh-TW"/>
        </w:rPr>
      </w:pPr>
    </w:p>
    <w:p w:rsidR="00C819C8" w:rsidRPr="00D32A5C" w:rsidRDefault="00C819C8" w:rsidP="00C819C8">
      <w:pPr>
        <w:pStyle w:val="a3"/>
        <w:snapToGrid w:val="0"/>
        <w:spacing w:afterLines="50" w:after="180"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四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抵免學分總數，學士班一年級入學以不超過三十學分、二年級入學以不超過六十學分、三年級入學以不超過九十學分為原則。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五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轉學生考入本校後，再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轉系者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，不得以原校成績再次辦理抵免學分。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</w:p>
    <w:p w:rsidR="00C819C8" w:rsidRPr="00D32A5C" w:rsidRDefault="00C819C8" w:rsidP="00C819C8">
      <w:pPr>
        <w:pStyle w:val="2"/>
        <w:snapToGrid w:val="0"/>
        <w:spacing w:line="0" w:lineRule="atLeast"/>
        <w:ind w:left="1000" w:hangingChars="500" w:hanging="10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六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重考或重新申請入學或依照法令規定先修讀學分後，考取修讀學位之研究生，得由各學系所或學位學程酌情抵免，抵免學分數以不超過應修畢業學分數二分之一為限。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Chars="500" w:left="1100" w:firstLine="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碩士在職專班及學位學程碩士在職專班學分之抵免，以本校修習之課程為原則；若於外校修習之課程，得由各學系、所或學位學程酌情抵免，抵免學分數以六學分為限</w:t>
      </w:r>
      <w:r w:rsidRPr="00D32A5C">
        <w:rPr>
          <w:rFonts w:ascii="Times New Roman" w:hAnsi="Times New Roman" w:hint="eastAsia"/>
          <w:sz w:val="20"/>
          <w:lang w:eastAsia="zh-TW"/>
        </w:rPr>
        <w:t>(</w:t>
      </w:r>
      <w:r w:rsidRPr="00D32A5C">
        <w:rPr>
          <w:rFonts w:ascii="Times New Roman" w:hAnsi="Times New Roman" w:hint="eastAsia"/>
          <w:sz w:val="20"/>
          <w:lang w:eastAsia="zh-TW"/>
        </w:rPr>
        <w:t>溯及</w:t>
      </w:r>
      <w:r w:rsidRPr="00D32A5C">
        <w:rPr>
          <w:rFonts w:ascii="Times New Roman" w:hAnsi="Times New Roman" w:hint="eastAsia"/>
          <w:sz w:val="20"/>
          <w:lang w:eastAsia="zh-TW"/>
        </w:rPr>
        <w:t>103</w:t>
      </w:r>
      <w:r w:rsidRPr="00D32A5C">
        <w:rPr>
          <w:rFonts w:ascii="Times New Roman" w:hAnsi="Times New Roman" w:hint="eastAsia"/>
          <w:sz w:val="20"/>
          <w:lang w:eastAsia="zh-TW"/>
        </w:rPr>
        <w:t>學年度入學者</w:t>
      </w:r>
      <w:r w:rsidRPr="00D32A5C">
        <w:rPr>
          <w:rFonts w:ascii="Times New Roman" w:hAnsi="Times New Roman" w:hint="eastAsia"/>
          <w:sz w:val="20"/>
          <w:lang w:eastAsia="zh-TW"/>
        </w:rPr>
        <w:t>)</w:t>
      </w:r>
      <w:r w:rsidRPr="00D32A5C">
        <w:rPr>
          <w:rFonts w:ascii="Times New Roman" w:hAnsi="Times New Roman" w:hint="eastAsia"/>
          <w:sz w:val="20"/>
          <w:lang w:eastAsia="zh-TW"/>
        </w:rPr>
        <w:t>。</w:t>
      </w:r>
    </w:p>
    <w:p w:rsidR="00C819C8" w:rsidRPr="00D32A5C" w:rsidRDefault="00C819C8" w:rsidP="00C819C8">
      <w:pPr>
        <w:pStyle w:val="a3"/>
        <w:snapToGrid w:val="0"/>
        <w:spacing w:line="340" w:lineRule="exact"/>
        <w:ind w:leftChars="500" w:left="1100" w:firstLine="0"/>
        <w:contextualSpacing/>
        <w:rPr>
          <w:rFonts w:ascii="Times New Roman" w:hAnsi="Times New Roman"/>
          <w:sz w:val="20"/>
          <w:lang w:eastAsia="zh-TW"/>
        </w:rPr>
      </w:pP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二年制專班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，得由各學系酌情就取得報考資格後，所修習本校學士學分班之學分抵免。</w:t>
      </w:r>
    </w:p>
    <w:p w:rsidR="00C819C8" w:rsidRPr="00D32A5C" w:rsidRDefault="00C819C8" w:rsidP="00C819C8">
      <w:pPr>
        <w:pStyle w:val="a3"/>
        <w:snapToGrid w:val="0"/>
        <w:spacing w:line="340" w:lineRule="exact"/>
        <w:ind w:leftChars="500" w:left="1100" w:firstLine="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進修學士班學生比照日間學制大學部學生辦理。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rPr>
          <w:rFonts w:ascii="Times New Roman" w:hAnsi="Times New Roman"/>
          <w:sz w:val="20"/>
          <w:lang w:eastAsia="zh-TW"/>
        </w:rPr>
      </w:pP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七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抵免學分之申請及審查規定如下：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一、學生申請時，必須檢附原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肄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（畢）業學校所核發之全部成績單正本，並須填寫抵免學分申請表一份。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二、轉學生申請抵免學分應於報到日辦理，重考生則應於註冊選課開始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一週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內，向有關系、所或學位學程申請辦理。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三、課程學分之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抵免由各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系、所或學位學程審查完成，送請學生確認後，建檔存查。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四、語文聽講實習必須取得原校在視聽教室使用耳機上課之證明，始可抵免；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惟零學分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之課程不予抵免。</w:t>
      </w:r>
    </w:p>
    <w:p w:rsidR="00C819C8" w:rsidRPr="00D32A5C" w:rsidRDefault="00C819C8" w:rsidP="00C819C8">
      <w:pPr>
        <w:pStyle w:val="1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五、體育由體育室負責審核，送各學系或學位學程辦公室登錄。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Chars="500" w:left="1500" w:hangingChars="200" w:hanging="400"/>
        <w:contextualSpacing/>
        <w:rPr>
          <w:rFonts w:ascii="Times New Roman" w:hAnsi="Times New Roman"/>
          <w:sz w:val="20"/>
          <w:lang w:eastAsia="zh-TW"/>
        </w:rPr>
      </w:pPr>
      <w:r w:rsidRPr="00F72014">
        <w:rPr>
          <w:rFonts w:ascii="Times New Roman" w:hAnsi="Times New Roman" w:hint="eastAsia"/>
          <w:sz w:val="20"/>
          <w:lang w:eastAsia="zh-TW"/>
        </w:rPr>
        <w:t>六、</w:t>
      </w:r>
      <w:r w:rsidRPr="00D32A5C">
        <w:rPr>
          <w:rFonts w:ascii="Times New Roman" w:hAnsi="Times New Roman" w:hint="eastAsia"/>
          <w:sz w:val="20"/>
          <w:lang w:eastAsia="zh-TW"/>
        </w:rPr>
        <w:t>各類學程由各教學單位負責審核。</w:t>
      </w:r>
    </w:p>
    <w:p w:rsidR="00C819C8" w:rsidRPr="00D32A5C" w:rsidRDefault="00C819C8" w:rsidP="00C819C8">
      <w:pPr>
        <w:pStyle w:val="a3"/>
        <w:snapToGrid w:val="0"/>
        <w:spacing w:afterLines="50" w:after="180" w:line="0" w:lineRule="atLeast"/>
        <w:ind w:leftChars="500" w:left="1500" w:hangingChars="200" w:hanging="400"/>
        <w:contextualSpacing/>
        <w:jc w:val="both"/>
        <w:rPr>
          <w:rFonts w:ascii="Times New Roman" w:hAnsi="Times New Roman"/>
          <w:sz w:val="20"/>
          <w:lang w:eastAsia="zh-TW"/>
        </w:rPr>
      </w:pPr>
      <w:r w:rsidRPr="00F72014">
        <w:rPr>
          <w:rFonts w:ascii="Times New Roman" w:hAnsi="Times New Roman" w:hint="eastAsia"/>
          <w:sz w:val="20"/>
          <w:lang w:eastAsia="zh-TW"/>
        </w:rPr>
        <w:t>七、</w:t>
      </w:r>
      <w:r w:rsidRPr="00D32A5C">
        <w:rPr>
          <w:rFonts w:ascii="Times New Roman" w:hAnsi="Times New Roman" w:hint="eastAsia"/>
          <w:sz w:val="20"/>
          <w:lang w:eastAsia="zh-TW"/>
        </w:rPr>
        <w:t>學生申請抵免學分，以入學當學年辦理一次為限，入學後再轉系或學位</w:t>
      </w:r>
      <w:proofErr w:type="gramStart"/>
      <w:r w:rsidRPr="00D32A5C">
        <w:rPr>
          <w:rFonts w:ascii="Times New Roman" w:hAnsi="Times New Roman" w:hint="eastAsia"/>
          <w:sz w:val="20"/>
          <w:lang w:eastAsia="zh-TW"/>
        </w:rPr>
        <w:t>學程者</w:t>
      </w:r>
      <w:proofErr w:type="gramEnd"/>
      <w:r w:rsidRPr="00D32A5C">
        <w:rPr>
          <w:rFonts w:ascii="Times New Roman" w:hAnsi="Times New Roman" w:hint="eastAsia"/>
          <w:sz w:val="20"/>
          <w:lang w:eastAsia="zh-TW"/>
        </w:rPr>
        <w:t>，以本辦法第五條規定辦理。</w:t>
      </w:r>
    </w:p>
    <w:p w:rsidR="00C819C8" w:rsidRPr="00D32A5C" w:rsidRDefault="00C819C8" w:rsidP="00C819C8">
      <w:pPr>
        <w:pStyle w:val="a3"/>
        <w:snapToGrid w:val="0"/>
        <w:spacing w:line="0" w:lineRule="atLeast"/>
        <w:ind w:left="1000" w:hangingChars="500" w:hanging="1000"/>
        <w:contextualSpacing/>
        <w:rPr>
          <w:rFonts w:ascii="Times New Roman" w:hAnsi="Times New Roman" w:cs="標楷體"/>
          <w:b/>
          <w:bCs/>
          <w:szCs w:val="32"/>
          <w:lang w:eastAsia="zh-TW"/>
        </w:rPr>
      </w:pPr>
      <w:r w:rsidRPr="00D32A5C">
        <w:rPr>
          <w:rFonts w:ascii="Times New Roman" w:hAnsi="Times New Roman" w:hint="eastAsia"/>
          <w:sz w:val="20"/>
          <w:lang w:eastAsia="zh-TW"/>
        </w:rPr>
        <w:t>第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八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</w:t>
      </w:r>
      <w:r w:rsidRPr="00D32A5C">
        <w:rPr>
          <w:rFonts w:ascii="Times New Roman" w:hAnsi="Times New Roman" w:hint="eastAsia"/>
          <w:sz w:val="20"/>
          <w:lang w:eastAsia="zh-TW"/>
        </w:rPr>
        <w:t>條</w:t>
      </w:r>
      <w:r w:rsidRPr="00D32A5C">
        <w:rPr>
          <w:rFonts w:ascii="Times New Roman" w:hAnsi="Times New Roman" w:hint="eastAsia"/>
          <w:sz w:val="20"/>
          <w:lang w:eastAsia="zh-TW"/>
        </w:rPr>
        <w:t xml:space="preserve">  </w:t>
      </w:r>
      <w:r w:rsidRPr="00D32A5C">
        <w:rPr>
          <w:rFonts w:ascii="Times New Roman" w:hAnsi="Times New Roman" w:hint="eastAsia"/>
          <w:sz w:val="20"/>
          <w:lang w:eastAsia="zh-TW"/>
        </w:rPr>
        <w:t>本辦法經教務會議審議，</w:t>
      </w:r>
      <w:r w:rsidRPr="00D32A5C">
        <w:rPr>
          <w:rFonts w:ascii="Times New Roman" w:hAnsi="Times New Roman" w:hint="eastAsia"/>
          <w:sz w:val="20"/>
          <w:szCs w:val="24"/>
          <w:lang w:eastAsia="zh-TW"/>
        </w:rPr>
        <w:t>陳請校長核定後</w:t>
      </w:r>
      <w:r w:rsidRPr="00D32A5C">
        <w:rPr>
          <w:rFonts w:ascii="Times New Roman" w:hAnsi="Times New Roman" w:hint="eastAsia"/>
          <w:b/>
          <w:sz w:val="20"/>
          <w:szCs w:val="24"/>
          <w:u w:val="single"/>
          <w:lang w:eastAsia="zh-TW"/>
        </w:rPr>
        <w:t>發布施行</w:t>
      </w:r>
      <w:r w:rsidRPr="00D32A5C">
        <w:rPr>
          <w:rFonts w:ascii="Times New Roman" w:hAnsi="Times New Roman" w:hint="eastAsia"/>
          <w:sz w:val="20"/>
          <w:lang w:eastAsia="zh-TW"/>
        </w:rPr>
        <w:t>，並報教育部備查，</w:t>
      </w:r>
      <w:r w:rsidRPr="00D32A5C">
        <w:rPr>
          <w:rFonts w:ascii="Times New Roman" w:hAnsi="Times New Roman" w:hint="eastAsia"/>
          <w:sz w:val="20"/>
          <w:szCs w:val="24"/>
          <w:lang w:eastAsia="zh-TW"/>
        </w:rPr>
        <w:t>修正時亦同。</w:t>
      </w:r>
    </w:p>
    <w:p w:rsidR="000E0BD3" w:rsidRDefault="000E0BD3">
      <w:pPr>
        <w:rPr>
          <w:lang w:eastAsia="zh-TW"/>
        </w:rPr>
      </w:pPr>
      <w:bookmarkStart w:id="0" w:name="_GoBack"/>
      <w:bookmarkEnd w:id="0"/>
    </w:p>
    <w:sectPr w:rsidR="000E0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C8"/>
    <w:rsid w:val="000E0BD3"/>
    <w:rsid w:val="00C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8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19C8"/>
    <w:pPr>
      <w:spacing w:after="0" w:line="400" w:lineRule="exact"/>
      <w:ind w:left="1418" w:hanging="1418"/>
    </w:pPr>
    <w:rPr>
      <w:rFonts w:ascii="標楷體" w:eastAsia="標楷體" w:hAnsi="Courier New"/>
      <w:kern w:val="2"/>
      <w:sz w:val="24"/>
      <w:szCs w:val="20"/>
    </w:rPr>
  </w:style>
  <w:style w:type="character" w:customStyle="1" w:styleId="a4">
    <w:name w:val="純文字 字元"/>
    <w:basedOn w:val="a0"/>
    <w:link w:val="a3"/>
    <w:rsid w:val="00C819C8"/>
    <w:rPr>
      <w:rFonts w:ascii="標楷體" w:eastAsia="標楷體" w:hAnsi="Courier New" w:cs="Times New Roman"/>
      <w:szCs w:val="20"/>
      <w:lang w:eastAsia="en-US"/>
    </w:rPr>
  </w:style>
  <w:style w:type="paragraph" w:customStyle="1" w:styleId="1">
    <w:name w:val="一般文字1"/>
    <w:basedOn w:val="a3"/>
    <w:rsid w:val="00C819C8"/>
    <w:pPr>
      <w:ind w:firstLine="0"/>
    </w:pPr>
  </w:style>
  <w:style w:type="paragraph" w:customStyle="1" w:styleId="2">
    <w:name w:val="樣式2"/>
    <w:basedOn w:val="a3"/>
    <w:rsid w:val="00C819C8"/>
    <w:pPr>
      <w:ind w:left="1474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8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19C8"/>
    <w:pPr>
      <w:spacing w:after="0" w:line="400" w:lineRule="exact"/>
      <w:ind w:left="1418" w:hanging="1418"/>
    </w:pPr>
    <w:rPr>
      <w:rFonts w:ascii="標楷體" w:eastAsia="標楷體" w:hAnsi="Courier New"/>
      <w:kern w:val="2"/>
      <w:sz w:val="24"/>
      <w:szCs w:val="20"/>
    </w:rPr>
  </w:style>
  <w:style w:type="character" w:customStyle="1" w:styleId="a4">
    <w:name w:val="純文字 字元"/>
    <w:basedOn w:val="a0"/>
    <w:link w:val="a3"/>
    <w:rsid w:val="00C819C8"/>
    <w:rPr>
      <w:rFonts w:ascii="標楷體" w:eastAsia="標楷體" w:hAnsi="Courier New" w:cs="Times New Roman"/>
      <w:szCs w:val="20"/>
      <w:lang w:eastAsia="en-US"/>
    </w:rPr>
  </w:style>
  <w:style w:type="paragraph" w:customStyle="1" w:styleId="1">
    <w:name w:val="一般文字1"/>
    <w:basedOn w:val="a3"/>
    <w:rsid w:val="00C819C8"/>
    <w:pPr>
      <w:ind w:firstLine="0"/>
    </w:pPr>
  </w:style>
  <w:style w:type="paragraph" w:customStyle="1" w:styleId="2">
    <w:name w:val="樣式2"/>
    <w:basedOn w:val="a3"/>
    <w:rsid w:val="00C819C8"/>
    <w:pPr>
      <w:ind w:left="147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shu-user</dc:creator>
  <cp:lastModifiedBy>shu-user</cp:lastModifiedBy>
  <cp:revision>1</cp:revision>
  <dcterms:created xsi:type="dcterms:W3CDTF">2019-06-04T01:45:00Z</dcterms:created>
  <dcterms:modified xsi:type="dcterms:W3CDTF">2019-06-04T01:45:00Z</dcterms:modified>
</cp:coreProperties>
</file>